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400"/>
      </w:pPr>
      <w:r>
        <w:rPr>
          <w:rFonts w:ascii="Calibri" w:cs="Calibri" w:eastAsia="Calibri" w:hAnsi="Calibri"/>
          <w:b/>
          <w:bCs/>
          <w:color w:val="C55A11"/>
          <w:sz w:val="22"/>
          <w:szCs w:val="22"/>
        </w:rPr>
        <w:t xml:space="preserve">AGAPE SAS</w:t>
      </w:r>
    </w:p>
    <w:p>
      <w:pPr>
        <w:spacing w:after="0" w:before="180"/>
      </w:pPr>
      <w:r>
        <w:rPr>
          <w:rFonts w:ascii="Calibri" w:cs="Calibri" w:eastAsia="Calibri" w:hAnsi="Calibri"/>
          <w:b/>
          <w:bCs/>
          <w:color w:val="1E3A5F"/>
          <w:sz w:val="52"/>
          <w:szCs w:val="52"/>
        </w:rPr>
        <w:t xml:space="preserve">Guide de remplissage</w:t>
      </w:r>
    </w:p>
    <w:p>
      <w:pPr>
        <w:spacing w:after="260" w:before="40"/>
      </w:pPr>
      <w:r>
        <w:rPr>
          <w:rFonts w:ascii="Calibri" w:cs="Calibri" w:eastAsia="Calibri" w:hAnsi="Calibri"/>
          <w:color w:val="1E3A5F"/>
          <w:sz w:val="34"/>
          <w:szCs w:val="34"/>
        </w:rPr>
        <w:t xml:space="preserve">de la maquette budgétaire TP</w:t>
      </w:r>
    </w:p>
    <w:p>
      <w:pPr>
        <w:pBdr>
          <w:top w:val="single" w:color="C55A11" w:sz="12"/>
        </w:pBdr>
        <w:spacing w:after="400"/>
      </w:pPr>
    </w:p>
    <w:p>
      <w:pPr>
        <w:spacing w:after="300" w:line="276"/>
      </w:pPr>
      <w:r>
        <w:rPr>
          <w:rFonts w:ascii="Calibri" w:cs="Calibri" w:eastAsia="Calibri" w:hAnsi="Calibri"/>
          <w:color w:val="595959"/>
          <w:sz w:val="24"/>
          <w:szCs w:val="24"/>
        </w:rPr>
        <w:t xml:space="preserve">Construire le budget de votre exercice, et le tenir en douze revues d'une heure.</w:t>
      </w:r>
    </w:p>
    <w:p>
      <w:pPr>
        <w:spacing w:after="200" w:line="276"/>
      </w:pPr>
      <w:r>
        <w:rPr>
          <w:rFonts w:ascii="Calibri" w:cs="Calibri" w:eastAsia="Calibri" w:hAnsi="Calibri"/>
          <w:sz w:val="21"/>
          <w:szCs w:val="21"/>
        </w:rPr>
        <w:t xml:space="preserve">Ce guide accompagne le classeur « Maquette budgétaire TP » mis à disposition des entreprises membres du groupement. Il se lit une fois, en entier, avant d'ouvrir le classeur — comptez vingt minutes.</w:t>
      </w:r>
    </w:p>
    <w:p>
      <w:pPr>
        <w:spacing w:after="0" w:line="276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Version 1.0 — août 2026</w:t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Calibri" w:cs="Calibri" w:eastAsia="Calibri" w:hAnsi="Calibri"/>
          <w:b/>
          <w:bCs/>
          <w:color w:val="1E3A5F"/>
          <w:sz w:val="30"/>
          <w:szCs w:val="30"/>
        </w:rPr>
        <w:t xml:space="preserve">1. Avant de commencer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E3A5F"/>
          <w:sz w:val="24"/>
          <w:szCs w:val="24"/>
        </w:rPr>
        <w:t xml:space="preserve">Ce que ce classeur est</w:t>
      </w:r>
    </w:p>
    <w:p>
      <w:pPr>
        <w:spacing w:after="120" w:line="276"/>
      </w:pPr>
      <w:r>
        <w:rPr>
          <w:rFonts w:ascii="Calibri" w:cs="Calibri" w:eastAsia="Calibri" w:hAnsi="Calibri"/>
          <w:sz w:val="21"/>
          <w:szCs w:val="21"/>
        </w:rPr>
        <w:t xml:space="preserve">Un budget d'entreprise de travaux publics tient en seize onglets. Ils couvrent les huit questions qu'un dirigeant de TP doit pouvoir trancher chaque mois : est-ce que je rentre assez de commandes ? vais-je produire ce que j'ai prévu ? mes chantiers gagnent-ils de l'argent ? ai-je les bonnes équipes, au bon coût, suffisamment occupées ? mes frais de structure sont-ils sous contrôle ? quel résultat vais-je faire ? vais-je tenir la trésorerie ? qu'est-ce qui peut faire dérailler le budget ?</w:t>
      </w:r>
    </w:p>
    <w:p>
      <w:pPr>
        <w:spacing w:after="120" w:line="276"/>
      </w:pPr>
      <w:r>
        <w:rPr>
          <w:rFonts w:ascii="Calibri" w:cs="Calibri" w:eastAsia="Calibri" w:hAnsi="Calibri"/>
          <w:sz w:val="21"/>
          <w:szCs w:val="21"/>
        </w:rPr>
        <w:t xml:space="preserve">Le classeur ne contient aucune formule exotique, aucune macro, aucun lien vers un fichier extérieur. Il s'ouvre dans Excel, dans LibreOffice, dans Numbers. Vous pouvez l'ouvrir dans dix ans.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E3A5F"/>
          <w:sz w:val="24"/>
          <w:szCs w:val="24"/>
        </w:rPr>
        <w:t xml:space="preserve">Ce qu'il n'est pas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rFonts w:ascii="Calibri" w:cs="Calibri" w:eastAsia="Calibri" w:hAnsi="Calibri"/>
          <w:sz w:val="21"/>
          <w:szCs w:val="21"/>
        </w:rPr>
        <w:t xml:space="preserve">Ce n'est pas un logiciel de gestion. Il ne remplace ni votre comptabilité, ni votre outil de pointage, ni votre logiciel de devis.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rFonts w:ascii="Calibri" w:cs="Calibri" w:eastAsia="Calibri" w:hAnsi="Calibri"/>
          <w:sz w:val="21"/>
          <w:szCs w:val="21"/>
        </w:rPr>
        <w:t xml:space="preserve">Ce n'est pas un document de reporting. Personne ne vous le demandera. Il sert à décider, pas à rendre compte.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rFonts w:ascii="Calibri" w:cs="Calibri" w:eastAsia="Calibri" w:hAnsi="Calibri"/>
          <w:sz w:val="21"/>
          <w:szCs w:val="21"/>
        </w:rPr>
        <w:t xml:space="preserve">Ce n'est pas un classeur d'archive. S'il n'est pas ouvert une fois par mois, il ne sert à rien.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E3A5F"/>
          <w:sz w:val="24"/>
          <w:szCs w:val="24"/>
        </w:rPr>
        <w:t xml:space="preserve">Ce qu'AGAPE fait, et ce qu'elle ne fait pas</w:t>
      </w:r>
    </w:p>
    <w:p>
      <w:pPr>
        <w:spacing w:after="120" w:line="276"/>
      </w:pPr>
      <w:r>
        <w:rPr>
          <w:rFonts w:ascii="Calibri" w:cs="Calibri" w:eastAsia="Calibri" w:hAnsi="Calibri"/>
          <w:sz w:val="21"/>
          <w:szCs w:val="21"/>
        </w:rPr>
        <w:t xml:space="preserve">Le classeur vous est remis vide, et il le reste. AGAPE ne le pré-remplit pas, n'y a pas accès, et ne voit rien de ce que vous y saisissez.</w:t>
      </w:r>
    </w:p>
    <w:p>
      <w:pPr>
        <w:spacing w:after="120" w:line="276"/>
      </w:pPr>
      <w:r>
        <w:rPr>
          <w:rFonts w:ascii="Calibri" w:cs="Calibri" w:eastAsia="Calibri" w:hAnsi="Calibri"/>
          <w:sz w:val="21"/>
          <w:szCs w:val="21"/>
        </w:rPr>
        <w:t xml:space="preserve">C'est un choix, pas une limite technique. Un dirigeant à qui l'on pose ses chiffres n'apprend rien ; celui qui va les chercher comprend d'où ils viennent, et sait les discuter l'année suivante. Ce que le groupement apporte, ce n'est pas le remplissage : c'est le cadre, la méthode, et quatre chiffres que vous ne trouverez nulle part ailleurs (chapitre 5).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E3A5F"/>
          <w:sz w:val="24"/>
          <w:szCs w:val="24"/>
        </w:rPr>
        <w:t xml:space="preserve">De quoi avez-vous besoin pour commencer</w:t>
      </w:r>
    </w:p>
    <w:tbl>
      <w:tblPr>
        <w:tblW w:type="dxa" w:w="9360"/>
        <w:tblBorders>
          <w:top w:val="single" w:color="BFBFBF" w:sz="2"/>
          <w:left w:val="none"/>
          <w:bottom w:val="single" w:color="BFBFBF" w:sz="2"/>
          <w:right w:val="none"/>
          <w:insideH w:val="single" w:color="D9D9D9" w:sz="2"/>
          <w:insideV w:val="none"/>
        </w:tblBorders>
      </w:tblPr>
      <w:tblGrid>
        <w:gridCol w:w="2808"/>
        <w:gridCol w:w="6552"/>
      </w:tblGrid>
      <w:tr>
        <w:trPr>
          <w:tblHeader/>
        </w:trPr>
        <w:tc>
          <w:tcPr>
            <w:tcW w:type="dxa" w:w="2808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Document</w:t>
            </w:r>
          </w:p>
        </w:tc>
        <w:tc>
          <w:tcPr>
            <w:tcW w:type="dxa" w:w="6552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Pourquoi</w:t>
            </w:r>
          </w:p>
        </w:tc>
      </w:tr>
      <w:tr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Vos deux derniers bilans et comptes de résultat</w:t>
            </w:r>
          </w:p>
        </w:tc>
        <w:tc>
          <w:tcPr>
            <w:tcW w:type="dxa" w:w="655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Les colonnes « Réalisé N-1 » ne s'inventent pas. Sans elles, le budget n'est comparé à rien.</w:t>
            </w:r>
          </w:p>
        </w:tc>
      </w:tr>
      <w:tr>
        <w:tc>
          <w:tcPr>
            <w:tcW w:type="dxa" w:w="280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La situation de vos chantiers en cours</w:t>
            </w:r>
          </w:p>
        </w:tc>
        <w:tc>
          <w:tcPr>
            <w:tcW w:type="dxa" w:w="6552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Montant du marché, avenants notifiés, dépenses engagées à date. C'est l'onglet 04, et c'est 80 % du travail.</w:t>
            </w:r>
          </w:p>
        </w:tc>
      </w:tr>
      <w:tr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Votre balance âgée clients</w:t>
            </w:r>
          </w:p>
        </w:tc>
        <w:tc>
          <w:tcPr>
            <w:tcW w:type="dxa" w:w="655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Pour l'onglet 10. Votre expert-comptable ou votre logiciel la sort en une minute.</w:t>
            </w:r>
          </w:p>
        </w:tc>
      </w:tr>
      <w:tr>
        <w:tc>
          <w:tcPr>
            <w:tcW w:type="dxa" w:w="280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Votre dernier bulletin récapitulatif de charges</w:t>
            </w:r>
          </w:p>
        </w:tc>
        <w:tc>
          <w:tcPr>
            <w:tcW w:type="dxa" w:w="6552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 taux de charges réel de votre entreprise, pas un taux moyen de branche.</w:t>
            </w:r>
          </w:p>
        </w:tc>
      </w:tr>
      <w:tr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Votre tableau de bord sécurité</w:t>
            </w:r>
          </w:p>
        </w:tc>
        <w:tc>
          <w:tcPr>
            <w:tcW w:type="dxa" w:w="655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Heures travaillées, accidents avec arrêt, jours d'arrêt. Onglet 13.</w:t>
            </w:r>
          </w:p>
        </w:tc>
      </w:tr>
    </w:tbl>
    <w:p>
      <w:r>
        <w:br w:type="page"/>
      </w:r>
    </w:p>
    <w:p>
      <w:pPr>
        <w:pStyle w:val="Heading1"/>
        <w:spacing w:after="180" w:before="360"/>
      </w:pPr>
      <w:r>
        <w:rPr>
          <w:rFonts w:ascii="Calibri" w:cs="Calibri" w:eastAsia="Calibri" w:hAnsi="Calibri"/>
          <w:b/>
          <w:bCs/>
          <w:color w:val="1E3A5F"/>
          <w:sz w:val="30"/>
          <w:szCs w:val="30"/>
        </w:rPr>
        <w:t xml:space="preserve">2. Comment lire le classeur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E3A5F"/>
          <w:sz w:val="24"/>
          <w:szCs w:val="24"/>
        </w:rPr>
        <w:t xml:space="preserve">Le code couleur — il commande tout</w:t>
      </w:r>
    </w:p>
    <w:tbl>
      <w:tblPr>
        <w:tblW w:type="dxa" w:w="9360"/>
        <w:tblBorders>
          <w:top w:val="single" w:color="BFBFBF" w:sz="2"/>
          <w:left w:val="none"/>
          <w:bottom w:val="single" w:color="BFBFBF" w:sz="2"/>
          <w:right w:val="none"/>
          <w:insideH w:val="single" w:color="D9D9D9" w:sz="2"/>
          <w:insideV w:val="none"/>
        </w:tblBorders>
      </w:tblPr>
      <w:tblGrid>
        <w:gridCol w:w="2059"/>
        <w:gridCol w:w="7301"/>
      </w:tblGrid>
      <w:tr>
        <w:trPr>
          <w:tblHeader/>
        </w:trPr>
        <w:tc>
          <w:tcPr>
            <w:tcW w:type="dxa" w:w="2059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Couleur</w:t>
            </w:r>
          </w:p>
        </w:tc>
        <w:tc>
          <w:tcPr>
            <w:tcW w:type="dxa" w:w="7301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Ce que ça veut dire</w:t>
            </w:r>
          </w:p>
        </w:tc>
      </w:tr>
      <w:tr>
        <w:tc>
          <w:tcPr>
            <w:tcW w:type="dxa" w:w="2059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Bleu</w:t>
            </w:r>
          </w:p>
        </w:tc>
        <w:tc>
          <w:tcPr>
            <w:tcW w:type="dxa" w:w="730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Cellule à saisir par vous. C'est là, et seulement là, que vous tapez.</w:t>
            </w:r>
          </w:p>
        </w:tc>
      </w:tr>
      <w:tr>
        <w:tc>
          <w:tcPr>
            <w:tcW w:type="dxa" w:w="2059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Noir</w:t>
            </w:r>
          </w:p>
        </w:tc>
        <w:tc>
          <w:tcPr>
            <w:tcW w:type="dxa" w:w="7301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Calcul automatique. Ne l'écrasez pas : vous casseriez la chaîne en aval sans qu'aucun message ne vous prévienne.</w:t>
            </w:r>
          </w:p>
        </w:tc>
      </w:tr>
      <w:tr>
        <w:tc>
          <w:tcPr>
            <w:tcW w:type="dxa" w:w="2059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Vert</w:t>
            </w:r>
          </w:p>
        </w:tc>
        <w:tc>
          <w:tcPr>
            <w:tcW w:type="dxa" w:w="730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Reprise d'un autre onglet. Même règle : on ne tape pas dessus.</w:t>
            </w:r>
          </w:p>
        </w:tc>
      </w:tr>
      <w:tr>
        <w:tc>
          <w:tcPr>
            <w:tcW w:type="dxa" w:w="2059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Fond jaune</w:t>
            </w:r>
          </w:p>
        </w:tc>
        <w:tc>
          <w:tcPr>
            <w:tcW w:type="dxa" w:w="7301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Hypothèse clé. Ces cellules-là ne se remplissent pas seul dans son bureau : elles se discutent en comité de direction, et on note qui a proposé quoi.</w:t>
            </w:r>
          </w:p>
        </w:tc>
      </w:tr>
      <w:tr>
        <w:tc>
          <w:tcPr>
            <w:tcW w:type="dxa" w:w="2059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Orange</w:t>
            </w:r>
          </w:p>
        </w:tc>
        <w:tc>
          <w:tcPr>
            <w:tcW w:type="dxa" w:w="730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Renvoi AGAPE : un chiffre que le groupement tient à votre disposition. Voir le chapitre 5 et l'onglet 16 du classeur.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Une règle simple pour ne jamais casser le classeur : si la cellule n'est pas bleue, n'y touchez pas.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E3A5F"/>
          <w:sz w:val="24"/>
          <w:szCs w:val="24"/>
        </w:rPr>
        <w:t xml:space="preserve">Les quatre colonnes</w:t>
      </w:r>
    </w:p>
    <w:p>
      <w:pPr>
        <w:spacing w:after="120" w:line="276"/>
      </w:pPr>
      <w:r>
        <w:rPr>
          <w:rFonts w:ascii="Calibri" w:cs="Calibri" w:eastAsia="Calibri" w:hAnsi="Calibri"/>
          <w:sz w:val="21"/>
          <w:szCs w:val="21"/>
        </w:rPr>
        <w:t xml:space="preserve">Presque tous les onglets présentent les mêmes quatre colonnes, dans le même ordre. C'est la mécanique la plus utile du classeur, et celle qu'on saute le plus souvent.</w:t>
      </w:r>
    </w:p>
    <w:tbl>
      <w:tblPr>
        <w:tblW w:type="dxa" w:w="9360"/>
        <w:tblBorders>
          <w:top w:val="single" w:color="BFBFBF" w:sz="2"/>
          <w:left w:val="none"/>
          <w:bottom w:val="single" w:color="BFBFBF" w:sz="2"/>
          <w:right w:val="none"/>
          <w:insideH w:val="single" w:color="D9D9D9" w:sz="2"/>
          <w:insideV w:val="none"/>
        </w:tblBorders>
      </w:tblPr>
      <w:tblGrid>
        <w:gridCol w:w="2434"/>
        <w:gridCol w:w="6926"/>
      </w:tblGrid>
      <w:tr>
        <w:trPr>
          <w:tblHeader/>
        </w:trPr>
        <w:tc>
          <w:tcPr>
            <w:tcW w:type="dxa" w:w="2434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Colonne</w:t>
            </w:r>
          </w:p>
        </w:tc>
        <w:tc>
          <w:tcPr>
            <w:tcW w:type="dxa" w:w="6926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Ce qu'elle porte</w:t>
            </w:r>
          </w:p>
        </w:tc>
      </w:tr>
      <w:tr>
        <w:tc>
          <w:tcPr>
            <w:tcW w:type="dxa" w:w="2434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Réalisé N-1</w:t>
            </w:r>
          </w:p>
        </w:tc>
        <w:tc>
          <w:tcPr>
            <w:tcW w:type="dxa" w:w="692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L'exercice clos. Un chiffre certain, tiré de vos comptes.</w:t>
            </w:r>
          </w:p>
        </w:tc>
      </w:tr>
      <w:tr>
        <w:tc>
          <w:tcPr>
            <w:tcW w:type="dxa" w:w="2434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Budget N</w:t>
            </w:r>
          </w:p>
        </w:tc>
        <w:tc>
          <w:tcPr>
            <w:tcW w:type="dxa" w:w="6926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Ce que vous aviez prévu pour l'exercice en cours. On le garde pour se souvenir de ce qu'on avait cru.</w:t>
            </w:r>
          </w:p>
        </w:tc>
      </w:tr>
      <w:tr>
        <w:tc>
          <w:tcPr>
            <w:tcW w:type="dxa" w:w="2434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Atterrissage N</w:t>
            </w:r>
          </w:p>
        </w:tc>
        <w:tc>
          <w:tcPr>
            <w:tcW w:type="dxa" w:w="692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Ce que vous pensez réellement faire cette année, révisé chaque mois. C'est la colonne la plus honnête du classeur.</w:t>
            </w:r>
          </w:p>
        </w:tc>
      </w:tr>
      <w:tr>
        <w:tc>
          <w:tcPr>
            <w:tcW w:type="dxa" w:w="2434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Budget N+1</w:t>
            </w:r>
          </w:p>
        </w:tc>
        <w:tc>
          <w:tcPr>
            <w:tcW w:type="dxa" w:w="6926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Ce que vous décidez pour l'an prochain. C'est ce que vous construisez.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sz w:val="21"/>
          <w:szCs w:val="21"/>
        </w:rPr>
        <w:t xml:space="preserve">Un budget n'a de valeur que comparé. Un chiffre seul ne dit rien ; le même chiffre en face de l'an dernier et de l'atterrissage raconte une histoire.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E3A5F"/>
          <w:sz w:val="24"/>
          <w:szCs w:val="24"/>
        </w:rPr>
        <w:t xml:space="preserve">Les trois règles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rFonts w:ascii="Calibri" w:cs="Calibri" w:eastAsia="Calibri" w:hAnsi="Calibri"/>
          <w:sz w:val="21"/>
          <w:szCs w:val="21"/>
        </w:rPr>
        <w:t xml:space="preserve">Un budget n'a de valeur que comparé. Chaque onglet oppose le budget N+1 à l'atterrissage N et au réalisé N-1.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rFonts w:ascii="Calibri" w:cs="Calibri" w:eastAsia="Calibri" w:hAnsi="Calibri"/>
          <w:sz w:val="21"/>
          <w:szCs w:val="21"/>
        </w:rPr>
        <w:t xml:space="preserve">Un chiffre sans pilote ne se réalise pas. L'onglet 14 nomme un responsable et une échéance pour chaque écart.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rFonts w:ascii="Calibri" w:cs="Calibri" w:eastAsia="Calibri" w:hAnsi="Calibri"/>
          <w:sz w:val="21"/>
          <w:szCs w:val="21"/>
        </w:rPr>
        <w:t xml:space="preserve">La maquette ne remplace pas la revue. Elle sert de support à une réunion mensuelle d'une heure, pas de classeur d'archive.</w:t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Calibri" w:cs="Calibri" w:eastAsia="Calibri" w:hAnsi="Calibri"/>
          <w:b/>
          <w:bCs/>
          <w:color w:val="1E3A5F"/>
          <w:sz w:val="30"/>
          <w:szCs w:val="30"/>
        </w:rPr>
        <w:t xml:space="preserve">3. L'ordre de remplissage</w:t>
      </w:r>
    </w:p>
    <w:p>
      <w:pPr>
        <w:spacing w:after="120" w:line="276"/>
      </w:pPr>
      <w:r>
        <w:rPr>
          <w:rFonts w:ascii="Calibri" w:cs="Calibri" w:eastAsia="Calibri" w:hAnsi="Calibri"/>
          <w:sz w:val="21"/>
          <w:szCs w:val="21"/>
        </w:rPr>
        <w:t xml:space="preserve">L'ordre n'est pas indifférent : chaque étape s'appuie sur la précédente. Comptez trois à cinq jours de travail étalés sur deux semaines pour un premier budget, une journée les années suivantes.</w:t>
      </w:r>
    </w:p>
    <w:tbl>
      <w:tblPr>
        <w:tblW w:type="dxa" w:w="9360"/>
        <w:tblBorders>
          <w:top w:val="single" w:color="BFBFBF" w:sz="2"/>
          <w:left w:val="none"/>
          <w:bottom w:val="single" w:color="BFBFBF" w:sz="2"/>
          <w:right w:val="none"/>
          <w:insideH w:val="single" w:color="D9D9D9" w:sz="2"/>
          <w:insideV w:val="none"/>
        </w:tblBorders>
      </w:tblPr>
      <w:tblGrid>
        <w:gridCol w:w="842"/>
        <w:gridCol w:w="2808"/>
        <w:gridCol w:w="4306"/>
        <w:gridCol w:w="1404"/>
      </w:tblGrid>
      <w:tr>
        <w:trPr>
          <w:tblHeader/>
        </w:trPr>
        <w:tc>
          <w:tcPr>
            <w:tcW w:type="dxa" w:w="842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Étape</w:t>
            </w:r>
          </w:p>
        </w:tc>
        <w:tc>
          <w:tcPr>
            <w:tcW w:type="dxa" w:w="2808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Onglet</w:t>
            </w:r>
          </w:p>
        </w:tc>
        <w:tc>
          <w:tcPr>
            <w:tcW w:type="dxa" w:w="4306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Ce que vous y mettez</w:t>
            </w:r>
          </w:p>
        </w:tc>
        <w:tc>
          <w:tcPr>
            <w:tcW w:type="dxa" w:w="1404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Durée</w:t>
            </w:r>
          </w:p>
        </w:tc>
      </w:tr>
      <w:tr>
        <w:tc>
          <w:tcPr>
            <w:tcW w:type="dxa" w:w="84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</w:t>
            </w:r>
          </w:p>
        </w:tc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16 — Vos données AGAPE</w:t>
            </w:r>
          </w:p>
        </w:tc>
        <w:tc>
          <w:tcPr>
            <w:tcW w:type="dxa" w:w="430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Les quatre chiffres à demander au groupement. À faire avant de commencer.</w:t>
            </w:r>
          </w:p>
        </w:tc>
        <w:tc>
          <w:tcPr>
            <w:tcW w:type="dxa" w:w="1404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15 min</w:t>
            </w:r>
          </w:p>
        </w:tc>
      </w:tr>
      <w:tr>
        <w:tc>
          <w:tcPr>
            <w:tcW w:type="dxa" w:w="842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280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01 — Paramètres</w:t>
            </w:r>
          </w:p>
        </w:tc>
        <w:tc>
          <w:tcPr>
            <w:tcW w:type="dxa" w:w="4306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Identité, dates d'exercice, hypothèses de coûts et de taux. Tout le reste en découle.</w:t>
            </w:r>
          </w:p>
        </w:tc>
        <w:tc>
          <w:tcPr>
            <w:tcW w:type="dxa" w:w="1404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 min</w:t>
            </w:r>
          </w:p>
        </w:tc>
      </w:tr>
      <w:tr>
        <w:tc>
          <w:tcPr>
            <w:tcW w:type="dxa" w:w="84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04 — Résultat par chantier</w:t>
            </w:r>
          </w:p>
        </w:tc>
        <w:tc>
          <w:tcPr>
            <w:tcW w:type="dxa" w:w="430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Une ligne par chantier en cours et à venir. Le cœur du budget.</w:t>
            </w:r>
          </w:p>
        </w:tc>
        <w:tc>
          <w:tcPr>
            <w:tcW w:type="dxa" w:w="1404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à 3 jours</w:t>
            </w:r>
          </w:p>
        </w:tc>
      </w:tr>
      <w:tr>
        <w:tc>
          <w:tcPr>
            <w:tcW w:type="dxa" w:w="842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280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03 — Prévision de production</w:t>
            </w:r>
          </w:p>
        </w:tc>
        <w:tc>
          <w:tcPr>
            <w:tcW w:type="dxa" w:w="4306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 chiffre d'affaires par mois, déduit des chantiers.</w:t>
            </w:r>
          </w:p>
        </w:tc>
        <w:tc>
          <w:tcPr>
            <w:tcW w:type="dxa" w:w="1404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h</w:t>
            </w:r>
          </w:p>
        </w:tc>
      </w:tr>
      <w:tr>
        <w:tc>
          <w:tcPr>
            <w:tcW w:type="dxa" w:w="84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02 — Prise de commandes</w:t>
            </w:r>
          </w:p>
        </w:tc>
        <w:tc>
          <w:tcPr>
            <w:tcW w:type="dxa" w:w="430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L'objectif de signature de l'exercice, par segment.</w:t>
            </w:r>
          </w:p>
        </w:tc>
        <w:tc>
          <w:tcPr>
            <w:tcW w:type="dxa" w:w="1404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h</w:t>
            </w:r>
          </w:p>
        </w:tc>
      </w:tr>
      <w:tr>
        <w:tc>
          <w:tcPr>
            <w:tcW w:type="dxa" w:w="842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dxa" w:w="280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05 / 06 — Effectifs, TACE</w:t>
            </w:r>
          </w:p>
        </w:tc>
        <w:tc>
          <w:tcPr>
            <w:tcW w:type="dxa" w:w="4306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Effectifs par catégorie, masse salariale, taux d'activité.</w:t>
            </w:r>
          </w:p>
        </w:tc>
        <w:tc>
          <w:tcPr>
            <w:tcW w:type="dxa" w:w="1404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1/2 journée</w:t>
            </w:r>
          </w:p>
        </w:tc>
      </w:tr>
      <w:tr>
        <w:tc>
          <w:tcPr>
            <w:tcW w:type="dxa" w:w="84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07 — Frais généraux</w:t>
            </w:r>
          </w:p>
        </w:tc>
        <w:tc>
          <w:tcPr>
            <w:tcW w:type="dxa" w:w="430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Les frais de structure poste par poste.</w:t>
            </w:r>
          </w:p>
        </w:tc>
        <w:tc>
          <w:tcPr>
            <w:tcW w:type="dxa" w:w="1404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1/2 journée</w:t>
            </w:r>
          </w:p>
        </w:tc>
      </w:tr>
      <w:tr>
        <w:tc>
          <w:tcPr>
            <w:tcW w:type="dxa" w:w="842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</w:t>
            </w:r>
          </w:p>
        </w:tc>
        <w:tc>
          <w:tcPr>
            <w:tcW w:type="dxa" w:w="280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08 — Compte de résultat</w:t>
            </w:r>
          </w:p>
        </w:tc>
        <w:tc>
          <w:tcPr>
            <w:tcW w:type="dxa" w:w="4306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Rien à saisir : vérification que le compte se tient.</w:t>
            </w:r>
          </w:p>
        </w:tc>
        <w:tc>
          <w:tcPr>
            <w:tcW w:type="dxa" w:w="1404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h de lecture</w:t>
            </w:r>
          </w:p>
        </w:tc>
      </w:tr>
      <w:tr>
        <w:tc>
          <w:tcPr>
            <w:tcW w:type="dxa" w:w="84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</w:t>
            </w:r>
          </w:p>
        </w:tc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09 / 10 — Trésorerie, BFR</w:t>
            </w:r>
          </w:p>
        </w:tc>
        <w:tc>
          <w:tcPr>
            <w:tcW w:type="dxa" w:w="430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Encaissements, décaissements, encours clients.</w:t>
            </w:r>
          </w:p>
        </w:tc>
        <w:tc>
          <w:tcPr>
            <w:tcW w:type="dxa" w:w="1404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1/2 journée</w:t>
            </w:r>
          </w:p>
        </w:tc>
      </w:tr>
      <w:tr>
        <w:tc>
          <w:tcPr>
            <w:tcW w:type="dxa" w:w="842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</w:t>
            </w:r>
          </w:p>
        </w:tc>
        <w:tc>
          <w:tcPr>
            <w:tcW w:type="dxa" w:w="280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11 / 12 / 13</w:t>
            </w:r>
          </w:p>
        </w:tc>
        <w:tc>
          <w:tcPr>
            <w:tcW w:type="dxa" w:w="4306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Risques, opportunités, investissements, sécurité.</w:t>
            </w:r>
          </w:p>
        </w:tc>
        <w:tc>
          <w:tcPr>
            <w:tcW w:type="dxa" w:w="1404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h</w:t>
            </w:r>
          </w:p>
        </w:tc>
      </w:tr>
      <w:tr>
        <w:tc>
          <w:tcPr>
            <w:tcW w:type="dxa" w:w="84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</w:t>
            </w:r>
          </w:p>
        </w:tc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14 / 15</w:t>
            </w:r>
          </w:p>
        </w:tc>
        <w:tc>
          <w:tcPr>
            <w:tcW w:type="dxa" w:w="430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Plan d'actions et lecture du tableau de bord.</w:t>
            </w:r>
          </w:p>
        </w:tc>
        <w:tc>
          <w:tcPr>
            <w:tcW w:type="dxa" w:w="1404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h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Si le temps manque, faites les étapes 1, 2, 3 et 7. Un budget qui s'arrête au compte de résultat vaut mieux qu'un budget complet jamais terminé.</w:t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Calibri" w:cs="Calibri" w:eastAsia="Calibri" w:hAnsi="Calibri"/>
          <w:b/>
          <w:bCs/>
          <w:color w:val="1E3A5F"/>
          <w:sz w:val="30"/>
          <w:szCs w:val="30"/>
        </w:rPr>
        <w:t xml:space="preserve">4. Onglet par onglet</w:t>
      </w:r>
    </w:p>
    <w:p>
      <w:pPr>
        <w:spacing w:after="120" w:line="276"/>
      </w:pPr>
      <w:r>
        <w:rPr>
          <w:rFonts w:ascii="Calibri" w:cs="Calibri" w:eastAsia="Calibri" w:hAnsi="Calibri"/>
          <w:sz w:val="21"/>
          <w:szCs w:val="21"/>
        </w:rPr>
        <w:t xml:space="preserve">Une fiche par onglet : la question qu'il tranche, ce que vous y saisissez, où le trouver, et le piège dans lequel on tombe la première fois.</w:t>
      </w:r>
    </w:p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01 — Paramètres et hypothèses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Sur quelles hypothèses tout le reste va-t-il s'appuyer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Identité, premier mois de l'exercice, taux de marge et de frais généraux cibles, coûts horaires chargés, taux de charges, DSO cible, taux d'IS, trésorerie à l'ouverture.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Vos trois derniers exercices, votre bulletin récapitulatif annuel de charges, votre convention collective pour l'évolution de la masse salariale.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Prendre des moyennes de branche pour les cibles de marge et de frais généraux. La cible utile est votre propre historique — c'est la seule à laquelle vos équipes croiront.</w:t>
      </w:r>
    </w:p>
    <w:tbl>
      <w:tblPr>
        <w:tblW w:type="dxa" w:w="9360"/>
        <w:tblBorders>
          <w:top w:val="single" w:color="FED7AA" w:sz="4"/>
          <w:left w:val="single" w:color="C55A11" w:sz="18"/>
          <w:bottom w:val="single" w:color="FED7AA" w:sz="4"/>
          <w:right w:val="single" w:color="FED7AA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FF8F3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b/>
                <w:bCs/>
                <w:color w:val="C55A11"/>
                <w:sz w:val="21"/>
                <w:szCs w:val="21"/>
              </w:rPr>
              <w:t xml:space="preserve">↗ </w:t>
            </w:r>
            <w:r>
              <w:rPr>
                <w:rFonts w:ascii="Calibri" w:cs="Calibri" w:eastAsia="Calibri" w:hAnsi="Calibri"/>
                <w:b/>
                <w:bCs/>
                <w:color w:val="9A3412"/>
                <w:sz w:val="21"/>
                <w:szCs w:val="21"/>
              </w:rPr>
              <w:t xml:space="preserve">Ligne « Inflation des achats et sous-traitance 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Ne prenez pas 2 % par défaut. AGAPE relève l'évolution réelle des tarifs, contrat par contrat, sur les contrats-cadres du groupement. Un chiffre constaté sur vos propres fournisseurs vaut mieux qu'un index national.</w:t>
            </w:r>
          </w:p>
        </w:tc>
      </w:tr>
    </w:tbl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02 — Prise de commandes et carnet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Combien dois-je signer cette année pour tenir la production de l'an prochain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Le carnet à l'ouverture, l'objectif de prise de commandes, et le détail par segment de marché : nombre d'affaires visé, montant moyen, taux de réussite.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Votre historique d'appels d'offres des trois derniers exercices — c'est lui qui donne les taux de réussite réels, segment par segment.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Un taux de réussite optimiste. Comptez ce que vous avez gagné, pas ce que vous espériez gagner. Et surveillez la visibilité du carnet : moins de quatre mois de production, c'est une alerte commerciale, pas un indicateur.</w:t>
      </w:r>
    </w:p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03 — Prévision de production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D'où vient le chiffre d'affaires de l'exercice, et comment se répartit-il dans l'année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La production ventilée par origine : chantiers en cours, signés non démarrés, à obtenir (probabilité forte), à prospecter, travaux d'entretien. Puis la mensualisation.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Les chantiers en cours viennent de l'onglet 04, colonne « Reste à exécuter ». Les autres lignes de votre carnet et de vos offres remises.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La part non sécurisée. Au-delà de 35 % de production « à obtenir », votre budget repose sur le commercial plutôt que sur le carnet — c'est possible, mais il faut le savoir et le dire.</w:t>
      </w:r>
    </w:p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04 — Résultat prévisionnel par chantier — le cœur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Mes chantiers gagnent-ils de l'argent, et lesquels dérivent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Une ligne par chantier : montant du marché, avenants notifiés, prix de revient prévu à fin d'affaire, dépenses engagées à date, production et facturation cumulées, et le résultat de la revue précédente.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Vos situations de travaux, votre comptabilité analytique si vous en avez une, vos conducteurs de travaux sinon. C'est la partie longue : comptez une à trois journées la première fois.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Le « reste à dépenser » figé. C'est la colonne qui fait tout l'intérêt de l'onglet : si elle ne bouge pas alors que le chantier avance, le résultat annoncé est une fiction. Elle se révise à chaque revue, chantier par chantier, avec le conducteur.</w:t>
      </w:r>
    </w:p>
    <w:tbl>
      <w:tblPr>
        <w:tblW w:type="dxa" w:w="9360"/>
        <w:tblBorders>
          <w:top w:val="single" w:color="FED7AA" w:sz="4"/>
          <w:left w:val="single" w:color="C55A11" w:sz="18"/>
          <w:bottom w:val="single" w:color="FED7AA" w:sz="4"/>
          <w:right w:val="single" w:color="FED7AA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FF8F3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b/>
                <w:bCs/>
                <w:color w:val="C55A11"/>
                <w:sz w:val="21"/>
                <w:szCs w:val="21"/>
              </w:rPr>
              <w:t xml:space="preserve">↗ </w:t>
            </w:r>
            <w:r>
              <w:rPr>
                <w:rFonts w:ascii="Calibri" w:cs="Calibri" w:eastAsia="Calibri" w:hAnsi="Calibri"/>
                <w:b/>
                <w:bCs/>
                <w:color w:val="9A3412"/>
                <w:sz w:val="21"/>
                <w:szCs w:val="21"/>
              </w:rPr>
              <w:t xml:space="preserve">Colonne « Prix de revient prévu à fin d'affaire 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Vos achats passés sous contrat-cadre du groupement sont des coûts directs de chantier et alimentent cette colonne. Réserve honnête : cela suppose que chaque achat soit rattaché à un chantier, ce que le dépôt AGAPE ne fait pas encore — dites-le si le sujet vous intéresse.</w:t>
            </w:r>
          </w:p>
        </w:tc>
      </w:tr>
    </w:tbl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05 — Effectifs et masse salariale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Ai-je les bonnes équipes, au bon coût, et qui part à la retraite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Effectifs moyens par catégorie et masse salariale chargée, pyramide des âges, plan de recrutement, budget formation.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Votre DSN, votre plan de charge, votre registre du personnel.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Oublier l'intérim. Un ETP d'intérim coûte de 15 à 30 % de plus qu'un salarié à qualification égale : s'il n'apparaît pas en ligne distincte, la production par ETP est fausse et la comparaison d'une année sur l'autre ne veut plus rien dire.</w:t>
      </w:r>
    </w:p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06 — TACE — taux d'activité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Quelle part des heures que je paie est réellement imputée sur un chantier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Mois par mois : heures imputées sur chantier, heures productives totales payées. Le reste se calcule.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Votre pointage. Si vous n'avez pas de pointage à l'heure, c'est le premier chantier à ouvrir — avant le budget.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Un TACE trop beau. Au-delà de 92 %, ce n'est généralement pas de la performance : c'est une imputation de complaisance des heures sur les chantiers, et elle fausse aussi l'onglet 04.</w:t>
      </w:r>
    </w:p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07 — Frais généraux et frais de structure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Mes frais de structure sont-ils sous contrôle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Chaque poste de frais généraux sur les quatre colonnes, et le commentaire de levier d'action en face.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Votre grand livre, poste par poste. Prévoyez une demi-journée avec votre comptable.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Raisonner en montant plutôt qu'en taux. Un frais général n'est pas un frais inutile : c'est un frais que le chantier ne paie pas directement. La règle est qu'il progresse moins vite que la production — si la variation dépasse la croissance du chiffre d'affaires, la structure s'alourdit.</w:t>
      </w:r>
    </w:p>
    <w:tbl>
      <w:tblPr>
        <w:tblW w:type="dxa" w:w="9360"/>
        <w:tblBorders>
          <w:top w:val="single" w:color="FED7AA" w:sz="4"/>
          <w:left w:val="single" w:color="C55A11" w:sz="18"/>
          <w:bottom w:val="single" w:color="FED7AA" w:sz="4"/>
          <w:right w:val="single" w:color="FED7AA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FF8F3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b/>
                <w:bCs/>
                <w:color w:val="C55A11"/>
                <w:sz w:val="21"/>
                <w:szCs w:val="21"/>
              </w:rPr>
              <w:t xml:space="preserve">↗ </w:t>
            </w:r>
            <w:r>
              <w:rPr>
                <w:rFonts w:ascii="Calibri" w:cs="Calibri" w:eastAsia="Calibri" w:hAnsi="Calibri"/>
                <w:b/>
                <w:bCs/>
                <w:color w:val="9A3412"/>
                <w:sz w:val="21"/>
                <w:szCs w:val="21"/>
              </w:rPr>
              <w:t xml:space="preserve">Ligne « Cotisations professionnelles, FNTP, certifications 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Votre cotisation AGAPE de l'exercice y a sa place. Lisez-la en face de votre BFA (onglet 08) : c'est la comparaison des deux qui donne le sens, et c'est un chiffre que votre comité de direction vous demandera.</w:t>
            </w:r>
          </w:p>
        </w:tc>
      </w:tr>
    </w:tbl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08 — Compte de résultat budgété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Quel résultat vais-je faire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Rien, ou presque : les coûts directs par nature, et les lignes financières et exceptionnelles. Tout le reste remonte des onglets amont.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Vos comptes des deux derniers exercices pour les colonnes de comparaison.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Passer les contrôles de cohérence en bas de page. Ils comparent votre marge budgétée à votre cible, et la marge de l'onglet 08 à celle de l'onglet 04. Un écart n'est pas une erreur de formule : c'est que deux de vos raisonnements ne disent pas la même chose, et il faut savoir lequel est faux.</w:t>
      </w:r>
    </w:p>
    <w:tbl>
      <w:tblPr>
        <w:tblW w:type="dxa" w:w="9360"/>
        <w:tblBorders>
          <w:top w:val="single" w:color="FED7AA" w:sz="4"/>
          <w:left w:val="single" w:color="C55A11" w:sz="18"/>
          <w:bottom w:val="single" w:color="FED7AA" w:sz="4"/>
          <w:right w:val="single" w:color="FED7AA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FF8F3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b/>
                <w:bCs/>
                <w:color w:val="C55A11"/>
                <w:sz w:val="21"/>
                <w:szCs w:val="21"/>
              </w:rPr>
              <w:t xml:space="preserve">↗ </w:t>
            </w:r>
            <w:r>
              <w:rPr>
                <w:rFonts w:ascii="Calibri" w:cs="Calibri" w:eastAsia="Calibri" w:hAnsi="Calibri"/>
                <w:b/>
                <w:bCs/>
                <w:color w:val="9A3412"/>
                <w:sz w:val="21"/>
                <w:szCs w:val="21"/>
              </w:rPr>
              <w:t xml:space="preserve">Votre BFA est un produit de l'exercice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 ristourne de fin d'année versée par AGAPE au titre des achats sous contrat-cadre vient en diminution de la ligne « Matériaux et fournitures » — ou en produit distinct si vous préférez la voir. La plupart des budgets de TP ne la font pas apparaître du tout : elle se dilue dans les achats, et personne ne la pilote. Montant versé et date de virement : Portail Contrats Cadres &amp; BFA.</w:t>
            </w:r>
          </w:p>
        </w:tc>
      </w:tr>
    </w:tbl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09 — Plan de trésorerie 12 mois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Vais-je tenir la trésorerie, et quand est le point bas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Encaissements et décaissements mois par mois, la trésorerie à l'ouverture, votre autorisation de découvert.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Vos échéanciers clients et fournisseurs, votre tableau d'amortissement d'emprunts, votre calendrier de TVA.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Ne regarder que la ligne de clôture annuelle. Une entreprise de TP ne dépose pas le bilan parce qu'elle perd de l'argent, mais parce qu'elle n'en a plus un mardi de juillet. Ce qui compte, c'est le point bas et la marge de sécurité à ce moment-là.</w:t>
      </w:r>
    </w:p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10 — BFR et encours clients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Combien mon activité immobilise-t-elle de trésorerie, et qui me doit de l'argent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Créances et dettes, travaux non facturés, acomptes reçus, puis la balance âgée client ligne à ligne.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Votre balance âgée, sortie de votre logiciel comptable.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Traiter le recouvrement comme un sujet administratif. Le résultat se fabrique sur le chantier, la trésorerie se fabrique au recouvrement. L'encours échu depuis plus de 90 jours est la ligne à suivre : elle a un nom, un montant et un responsable.</w:t>
      </w:r>
    </w:p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11 — Risques et opportunités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Qu'est-ce qui n'est pas dans le budget mais pourrait y entrer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Chaque risque et chaque opportunité identifiés : description, chantier concerné, montant brut estimé, probabilité.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Vos revues de chantier, vos réclamations en cours, vos travaux supplémentaires non encore valorisés.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N'inscrire que les risques. Les travaux supplémentaires commandés et non valorisés sont une opportunité réelle, souvent supérieure aux pénalités que l'on redoute — et les oublier fausse l'exposition nette.</w:t>
      </w:r>
    </w:p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12 — Budget d'investissement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Quel matériel, quand, et financé comment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Catégorie, désignation, montant, mois prévu, mode de financement. Plus le plan pluriannuel indicatif à quatre ans.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Votre parc matériel et son âge, vos échéances de crédit-bail.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Oublier de reporter les décaissements dans l'onglet 09. Un investissement décidé en juin et payé en juin ne se voit pas dans le compte de résultat — il se voit dans la trésorerie, tout de suite.</w:t>
      </w:r>
    </w:p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13 — Sécurité — TF et TG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Où en est la sécurité, et que fait-on cette année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Heures travaillées, accidents avec et sans arrêt, jours d'arrêt, presqu'accidents déclarés, visites de sécurité. Puis le plan de prévention avec son pilote et son échéance.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Votre registre des accidents, votre relevé de la CARSAT.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En faire une formalité. C'est le seul indicateur du tableau de bord qui ne se négocie pas — et c'est aussi le seul dont l'écart se paie en cotisations AT/MP l'année suivante.</w:t>
      </w:r>
    </w:p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14 — Relevé de décisions et plan d'actions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Qui fait quoi, pour quand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À chaque revue : la date, le thème, l'action décidée, le pilote, la date de début et l'échéance.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Rien à chercher : cet onglet se remplit pendant la réunion, pas après.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Le laisser vide. C'est l'onglet qui fait la différence entre un budget et un classeur. Une ligne sans pilote et sans date est une ligne qui reviendra identique le mois suivant.</w:t>
      </w:r>
    </w:p>
    <w:p>
      <w:pPr>
        <w:shd w:fill="DCE6F1" w:val="clear"/>
        <w:spacing w:after="60" w:before="280"/>
      </w:pPr>
      <w:r>
        <w:rPr>
          <w:rFonts w:ascii="Calibri" w:cs="Calibri" w:eastAsia="Calibri" w:hAnsi="Calibri"/>
          <w:b/>
          <w:bCs/>
          <w:color w:val="1E3A5F"/>
          <w:sz w:val="23"/>
          <w:szCs w:val="23"/>
        </w:rPr>
        <w:t xml:space="preserve">  15 — Tableau de bord de la revue mensuelle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question à laquelle il répond :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Que regarde-t-on en premier ?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 que vous y saisissez : </w:t>
      </w:r>
      <w:r>
        <w:rPr>
          <w:rFonts w:ascii="Calibri" w:cs="Calibri" w:eastAsia="Calibri" w:hAnsi="Calibri"/>
          <w:sz w:val="21"/>
          <w:szCs w:val="21"/>
        </w:rPr>
        <w:t xml:space="preserve">Rien. Tout remonte des onglets amont.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Où le trouver : </w:t>
      </w:r>
      <w:r>
        <w:rPr>
          <w:rFonts w:ascii="Calibri" w:cs="Calibri" w:eastAsia="Calibri" w:hAnsi="Calibri"/>
          <w:sz w:val="21"/>
          <w:szCs w:val="21"/>
        </w:rPr>
        <w:t xml:space="preserve">Nulle part : c'est la page que vous imprimez pour la réunion, et celle que votre banque vous demandera.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B91C1C"/>
          <w:sz w:val="21"/>
          <w:szCs w:val="21"/>
        </w:rPr>
        <w:t xml:space="preserve">⚠ Le piège : </w:t>
      </w:r>
      <w:r>
        <w:rPr>
          <w:rFonts w:ascii="Calibri" w:cs="Calibri" w:eastAsia="Calibri" w:hAnsi="Calibri"/>
          <w:sz w:val="21"/>
          <w:szCs w:val="21"/>
        </w:rPr>
        <w:t xml:space="preserve">La commenter ligne à ligne. Elle se lit en dix minutes ; les onglets amont servent à expliquer, pas à présenter.</w:t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Calibri" w:cs="Calibri" w:eastAsia="Calibri" w:hAnsi="Calibri"/>
          <w:b/>
          <w:bCs/>
          <w:color w:val="1E3A5F"/>
          <w:sz w:val="30"/>
          <w:szCs w:val="30"/>
        </w:rPr>
        <w:t xml:space="preserve">5. Les quatre chiffres qu'AGAPE tient à votre disposition</w:t>
      </w:r>
    </w:p>
    <w:p>
      <w:pPr>
        <w:spacing w:after="120" w:line="276"/>
      </w:pPr>
      <w:r>
        <w:rPr>
          <w:rFonts w:ascii="Calibri" w:cs="Calibri" w:eastAsia="Calibri" w:hAnsi="Calibri"/>
          <w:sz w:val="21"/>
          <w:szCs w:val="21"/>
        </w:rPr>
        <w:t xml:space="preserve">Quatre des chiffres que ce classeur demande ne se trouvent pas dans votre comptabilité. Ils sont chez AGAPE, et l'onglet 16 du classeur les rappelle avec le chemin exact.</w:t>
      </w:r>
    </w:p>
    <w:tbl>
      <w:tblPr>
        <w:tblW w:type="dxa" w:w="9360"/>
        <w:tblBorders>
          <w:top w:val="single" w:color="BFBFBF" w:sz="2"/>
          <w:left w:val="none"/>
          <w:bottom w:val="single" w:color="BFBFBF" w:sz="2"/>
          <w:right w:val="none"/>
          <w:insideH w:val="single" w:color="D9D9D9" w:sz="2"/>
          <w:insideV w:val="none"/>
        </w:tblBorders>
      </w:tblPr>
      <w:tblGrid>
        <w:gridCol w:w="2059"/>
        <w:gridCol w:w="2995"/>
        <w:gridCol w:w="4306"/>
      </w:tblGrid>
      <w:tr>
        <w:trPr>
          <w:tblHeader/>
        </w:trPr>
        <w:tc>
          <w:tcPr>
            <w:tcW w:type="dxa" w:w="2059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Où, dans le classeur</w:t>
            </w:r>
          </w:p>
        </w:tc>
        <w:tc>
          <w:tcPr>
            <w:tcW w:type="dxa" w:w="2995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Quel chiffre</w:t>
            </w:r>
          </w:p>
        </w:tc>
        <w:tc>
          <w:tcPr>
            <w:tcW w:type="dxa" w:w="4306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Où le chercher</w:t>
            </w:r>
          </w:p>
        </w:tc>
      </w:tr>
      <w:tr>
        <w:tc>
          <w:tcPr>
            <w:tcW w:type="dxa" w:w="2059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08 — Compte de résultat</w:t>
            </w:r>
          </w:p>
        </w:tc>
        <w:tc>
          <w:tcPr>
            <w:tcW w:type="dxa" w:w="2995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Votre BFA : la ristourne de fin d'année versée au titre des achats sous contrat-cadre</w:t>
            </w:r>
          </w:p>
        </w:tc>
        <w:tc>
          <w:tcPr>
            <w:tcW w:type="dxa" w:w="430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Portail Contrats Cadres &amp; BFA, onglet « Tableau de bord BFA » : montant versé et date de virement, année par année. L'onglet « Simulateur BFA » projette l'exercice en cours.</w:t>
            </w:r>
          </w:p>
        </w:tc>
      </w:tr>
      <w:tr>
        <w:tc>
          <w:tcPr>
            <w:tcW w:type="dxa" w:w="2059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01 — Paramètres</w:t>
            </w:r>
          </w:p>
        </w:tc>
        <w:tc>
          <w:tcPr>
            <w:tcW w:type="dxa" w:w="2995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L'évolution réelle des tarifs, constatée sur les contrats-cadres du groupement</w:t>
            </w:r>
          </w:p>
        </w:tc>
        <w:tc>
          <w:tcPr>
            <w:tcW w:type="dxa" w:w="4306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À demander à AGAPE, qui la relève contrat par contrat. L'Observatoire du marché donne par ailleurs les tendances de la profession.</w:t>
            </w:r>
          </w:p>
        </w:tc>
      </w:tr>
      <w:tr>
        <w:tc>
          <w:tcPr>
            <w:tcW w:type="dxa" w:w="2059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07 — Frais généraux</w:t>
            </w:r>
          </w:p>
        </w:tc>
        <w:tc>
          <w:tcPr>
            <w:tcW w:type="dxa" w:w="2995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Votre cotisation AGAPE de l'exercice</w:t>
            </w:r>
          </w:p>
        </w:tc>
        <w:tc>
          <w:tcPr>
            <w:tcW w:type="dxa" w:w="4306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Votre appel de cotisation AGAPE de l'année.</w:t>
            </w:r>
          </w:p>
        </w:tc>
      </w:tr>
      <w:tr>
        <w:tc>
          <w:tcPr>
            <w:tcW w:type="dxa" w:w="2059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04 — Résultat par chantier</w:t>
            </w:r>
          </w:p>
        </w:tc>
        <w:tc>
          <w:tcPr>
            <w:tcW w:type="dxa" w:w="2995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Vos achats passés sous contrat-cadre du groupement</w:t>
            </w:r>
          </w:p>
        </w:tc>
        <w:tc>
          <w:tcPr>
            <w:tcW w:type="dxa" w:w="4306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Écran « Mon tableau de bord achats », alimenté par vos dépôts dans « Déposer mes achats ».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E3A5F"/>
          <w:sz w:val="24"/>
          <w:szCs w:val="24"/>
        </w:rPr>
        <w:t xml:space="preserve">Le test en cinq minutes</w:t>
      </w:r>
    </w:p>
    <w:p>
      <w:pPr>
        <w:spacing w:after="120" w:line="276"/>
      </w:pPr>
      <w:r>
        <w:rPr>
          <w:rFonts w:ascii="Calibri" w:cs="Calibri" w:eastAsia="Calibri" w:hAnsi="Calibri"/>
          <w:sz w:val="21"/>
          <w:szCs w:val="21"/>
        </w:rPr>
        <w:t xml:space="preserve">Prenez votre dernier compte de résultat, et cherchez-y la ristourne AGAPE. Si vous ne la trouvez pas, c'est qu'elle est diluée dans vos achats — et que personne, chez vous, ne la pilote. C'est exactement le genre de chiffre que ce classeur sert à faire remonter.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E3A5F"/>
          <w:sz w:val="24"/>
          <w:szCs w:val="24"/>
        </w:rPr>
        <w:t xml:space="preserve">Ce qu'AGAPE ne fait pas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rFonts w:ascii="Calibri" w:cs="Calibri" w:eastAsia="Calibri" w:hAnsi="Calibri"/>
          <w:sz w:val="21"/>
          <w:szCs w:val="21"/>
        </w:rPr>
        <w:t xml:space="preserve">AGAPE ne remplit pas votre budget et n'a pas accès à vos données de gestion.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rFonts w:ascii="Calibri" w:cs="Calibri" w:eastAsia="Calibri" w:hAnsi="Calibri"/>
          <w:sz w:val="21"/>
          <w:szCs w:val="21"/>
        </w:rPr>
        <w:t xml:space="preserve">Les chiffres ci-dessus sont les vôtres : le groupement ne fait que les tenir à jour et vous dire où ils sont.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rFonts w:ascii="Calibri" w:cs="Calibri" w:eastAsia="Calibri" w:hAnsi="Calibri"/>
          <w:sz w:val="21"/>
          <w:szCs w:val="21"/>
        </w:rPr>
        <w:t xml:space="preserve">Rien de ce que vous saisissez dans ce classeur ne remonte à AGAPE.</w:t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Calibri" w:cs="Calibri" w:eastAsia="Calibri" w:hAnsi="Calibri"/>
          <w:b/>
          <w:bCs/>
          <w:color w:val="1E3A5F"/>
          <w:sz w:val="30"/>
          <w:szCs w:val="30"/>
        </w:rPr>
        <w:t xml:space="preserve">6. La revue mensuelle d'une heure</w:t>
      </w:r>
    </w:p>
    <w:p>
      <w:pPr>
        <w:spacing w:after="120" w:line="276"/>
      </w:pPr>
      <w:r>
        <w:rPr>
          <w:rFonts w:ascii="Calibri" w:cs="Calibri" w:eastAsia="Calibri" w:hAnsi="Calibri"/>
          <w:sz w:val="21"/>
          <w:szCs w:val="21"/>
        </w:rPr>
        <w:t xml:space="preserve">Le classeur n'a de valeur que s'il est ouvert une fois par mois, à date fixe, avec les mêmes personnes. Voici un déroulé qui tient en soixante minutes.</w:t>
      </w:r>
    </w:p>
    <w:tbl>
      <w:tblPr>
        <w:tblW w:type="dxa" w:w="9360"/>
        <w:tblBorders>
          <w:top w:val="single" w:color="BFBFBF" w:sz="2"/>
          <w:left w:val="none"/>
          <w:bottom w:val="single" w:color="BFBFBF" w:sz="2"/>
          <w:right w:val="none"/>
          <w:insideH w:val="single" w:color="D9D9D9" w:sz="2"/>
          <w:insideV w:val="none"/>
        </w:tblBorders>
      </w:tblPr>
      <w:tblGrid>
        <w:gridCol w:w="1123"/>
        <w:gridCol w:w="2808"/>
        <w:gridCol w:w="5429"/>
      </w:tblGrid>
      <w:tr>
        <w:trPr>
          <w:tblHeader/>
        </w:trPr>
        <w:tc>
          <w:tcPr>
            <w:tcW w:type="dxa" w:w="1123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Durée</w:t>
            </w:r>
          </w:p>
        </w:tc>
        <w:tc>
          <w:tcPr>
            <w:tcW w:type="dxa" w:w="2808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Séquence</w:t>
            </w:r>
          </w:p>
        </w:tc>
        <w:tc>
          <w:tcPr>
            <w:tcW w:type="dxa" w:w="5429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Ce qu'on y fait</w:t>
            </w:r>
          </w:p>
        </w:tc>
      </w:tr>
      <w:tr>
        <w:tc>
          <w:tcPr>
            <w:tcW w:type="dxa" w:w="1123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 min</w:t>
            </w:r>
          </w:p>
        </w:tc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 tableau de bord (15)</w:t>
            </w:r>
          </w:p>
        </w:tc>
        <w:tc>
          <w:tcPr>
            <w:tcW w:type="dxa" w:w="5429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Lecture silencieuse, puis on entoure les trois lignes dont l'écart est défavorable. Pas de commentaire ligne à ligne.</w:t>
            </w:r>
          </w:p>
        </w:tc>
      </w:tr>
      <w:tr>
        <w:tc>
          <w:tcPr>
            <w:tcW w:type="dxa" w:w="1123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25 min</w:t>
            </w:r>
          </w:p>
        </w:tc>
        <w:tc>
          <w:tcPr>
            <w:tcW w:type="dxa" w:w="280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Les chantiers (04)</w:t>
            </w:r>
          </w:p>
        </w:tc>
        <w:tc>
          <w:tcPr>
            <w:tcW w:type="dxa" w:w="5429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Chantier par chantier, pour ceux qui portent un signal : PERTE, DÉRIVE, SOUS-FACTURATION. On révise le reste à dépenser avec le conducteur, à voix haute.</w:t>
            </w:r>
          </w:p>
        </w:tc>
      </w:tr>
      <w:tr>
        <w:tc>
          <w:tcPr>
            <w:tcW w:type="dxa" w:w="1123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 min</w:t>
            </w:r>
          </w:p>
        </w:tc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La trésorerie (09, 10)</w:t>
            </w:r>
          </w:p>
        </w:tc>
        <w:tc>
          <w:tcPr>
            <w:tcW w:type="dxa" w:w="5429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 point bas des trois prochains mois, et l'encours échu de plus de 90 jours, nom par nom.</w:t>
            </w:r>
          </w:p>
        </w:tc>
      </w:tr>
      <w:tr>
        <w:tc>
          <w:tcPr>
            <w:tcW w:type="dxa" w:w="1123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 min</w:t>
            </w:r>
          </w:p>
        </w:tc>
        <w:tc>
          <w:tcPr>
            <w:tcW w:type="dxa" w:w="280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Les décisions (14)</w:t>
            </w:r>
          </w:p>
        </w:tc>
        <w:tc>
          <w:tcPr>
            <w:tcW w:type="dxa" w:w="5429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Pour chaque écart : depuis quand ? pourquoi ? qui la traite et pour quand ? La réponse à la troisième question s'écrit immédiatement.</w:t>
            </w:r>
          </w:p>
        </w:tc>
      </w:tr>
      <w:tr>
        <w:tc>
          <w:tcPr>
            <w:tcW w:type="dxa" w:w="1123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 min</w:t>
            </w:r>
          </w:p>
        </w:tc>
        <w:tc>
          <w:tcPr>
            <w:tcW w:type="dxa" w:w="280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Les actions en retard</w:t>
            </w:r>
          </w:p>
        </w:tc>
        <w:tc>
          <w:tcPr>
            <w:tcW w:type="dxa" w:w="5429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On relit celles du mois dernier. Une action reportée deux fois est une action qui n'aura pas lieu : soit on change le pilote, soit on la retire.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Trois questions suffisent devant chaque ligne dont l'écart est défavorable : depuis quand ? pourquoi ? qui la traite et pour quand ? La troisième est la seule qui change quelque chose.</w:t>
      </w:r>
    </w:p>
    <w:p>
      <w:pPr>
        <w:pStyle w:val="Heading1"/>
        <w:spacing w:after="180" w:before="360"/>
      </w:pPr>
      <w:r>
        <w:rPr>
          <w:rFonts w:ascii="Calibri" w:cs="Calibri" w:eastAsia="Calibri" w:hAnsi="Calibri"/>
          <w:b/>
          <w:bCs/>
          <w:color w:val="1E3A5F"/>
          <w:sz w:val="30"/>
          <w:szCs w:val="30"/>
        </w:rPr>
        <w:t xml:space="preserve">7. Les sept erreurs les plus fréquentes</w:t>
      </w:r>
    </w:p>
    <w:tbl>
      <w:tblPr>
        <w:tblW w:type="dxa" w:w="9360"/>
        <w:tblBorders>
          <w:top w:val="single" w:color="BFBFBF" w:sz="2"/>
          <w:left w:val="none"/>
          <w:bottom w:val="single" w:color="BFBFBF" w:sz="2"/>
          <w:right w:val="none"/>
          <w:insideH w:val="single" w:color="D9D9D9" w:sz="2"/>
          <w:insideV w:val="none"/>
        </w:tblBorders>
      </w:tblPr>
      <w:tblGrid>
        <w:gridCol w:w="3182"/>
        <w:gridCol w:w="6178"/>
      </w:tblGrid>
      <w:tr>
        <w:trPr>
          <w:tblHeader/>
        </w:trPr>
        <w:tc>
          <w:tcPr>
            <w:tcW w:type="dxa" w:w="3182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L'erreur</w:t>
            </w:r>
          </w:p>
        </w:tc>
        <w:tc>
          <w:tcPr>
            <w:tcW w:type="dxa" w:w="6178"/>
            <w:shd w:fill="1E3A5F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Ce qu'elle produit</w:t>
            </w:r>
          </w:p>
        </w:tc>
      </w:tr>
      <w:tr>
        <w:tc>
          <w:tcPr>
            <w:tcW w:type="dxa" w:w="318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Écraser une cellule noire ou verte</w:t>
            </w:r>
          </w:p>
        </w:tc>
        <w:tc>
          <w:tcPr>
            <w:tcW w:type="dxa" w:w="617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La chaîne casse en aval, sans message. Contrôlez la couleur avant de taper.</w:t>
            </w:r>
          </w:p>
        </w:tc>
      </w:tr>
      <w:tr>
        <w:tc>
          <w:tcPr>
            <w:tcW w:type="dxa" w:w="3182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Un « reste à dépenser » qui ne bouge pas</w:t>
            </w:r>
          </w:p>
        </w:tc>
        <w:tc>
          <w:tcPr>
            <w:tcW w:type="dxa" w:w="617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 résultat à fin d'affaire devient une fiction, et l'onglet 04 ne sert plus à rien.</w:t>
            </w:r>
          </w:p>
        </w:tc>
      </w:tr>
      <w:tr>
        <w:tc>
          <w:tcPr>
            <w:tcW w:type="dxa" w:w="318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Des cibles de branche au lieu des vôtres</w:t>
            </w:r>
          </w:p>
        </w:tc>
        <w:tc>
          <w:tcPr>
            <w:tcW w:type="dxa" w:w="617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Personne dans l'entreprise n'y croit, donc personne ne les tient.</w:t>
            </w:r>
          </w:p>
        </w:tc>
      </w:tr>
      <w:tr>
        <w:tc>
          <w:tcPr>
            <w:tcW w:type="dxa" w:w="3182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Oublier l'intérim dans les effectifs</w:t>
            </w:r>
          </w:p>
        </w:tc>
        <w:tc>
          <w:tcPr>
            <w:tcW w:type="dxa" w:w="617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La production par ETP est fausse et incomparable d'une année sur l'autre.</w:t>
            </w:r>
          </w:p>
        </w:tc>
      </w:tr>
      <w:tr>
        <w:tc>
          <w:tcPr>
            <w:tcW w:type="dxa" w:w="318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Un TACE au-delà de 92 %</w:t>
            </w:r>
          </w:p>
        </w:tc>
        <w:tc>
          <w:tcPr>
            <w:tcW w:type="dxa" w:w="617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Une imputation de complaisance, qui fausse aussi la marge des chantiers.</w:t>
            </w:r>
          </w:p>
        </w:tc>
      </w:tr>
      <w:tr>
        <w:tc>
          <w:tcPr>
            <w:tcW w:type="dxa" w:w="3182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 regarder que la trésorerie de clôture</w:t>
            </w:r>
          </w:p>
        </w:tc>
        <w:tc>
          <w:tcPr>
            <w:tcW w:type="dxa" w:w="6178"/>
            <w:shd w:fill="F5F8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On rate le point bas — c'est-à-dire le seul moment qui compte.</w:t>
            </w:r>
          </w:p>
        </w:tc>
      </w:tr>
      <w:tr>
        <w:tc>
          <w:tcPr>
            <w:tcW w:type="dxa" w:w="318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Laisser l'onglet 14 vide</w:t>
            </w:r>
          </w:p>
        </w:tc>
        <w:tc>
          <w:tcPr>
            <w:tcW w:type="dxa" w:w="617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Douze revues plus tard, les mêmes écarts sont toujours là, à l'identique.</w:t>
            </w:r>
          </w:p>
        </w:tc>
      </w:tr>
    </w:tbl>
    <w:p>
      <w:pPr>
        <w:pBdr>
          <w:top w:val="single" w:color="C55A11" w:sz="8"/>
        </w:pBdr>
        <w:spacing w:before="500"/>
      </w:pPr>
    </w:p>
    <w:p>
      <w:pPr>
        <w:spacing w:after="120" w:line="276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Une question sur le classeur, sur le guide, ou sur l'un des quatre chiffres du chapitre 5 : contactez AGAPE SAS.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AGAPE SAS — guide diffusé aux entreprises membres du groupement. Le classeur et ce guide sont mis à disposition sans garantie de résultat : les hypothèses et les décisions restent celles du dirigeant.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4"/>
      </w:pBdr>
      <w:spacing w:after="240"/>
      <w:jc w:val="right"/>
    </w:pPr>
    <w:r>
      <w:rPr>
        <w:rFonts w:ascii="Calibri" w:cs="Calibri" w:eastAsia="Calibri" w:hAnsi="Calibri"/>
        <w:color w:val="595959"/>
        <w:sz w:val="16"/>
        <w:szCs w:val="16"/>
      </w:rPr>
      <w:t xml:space="preserve">AGAPE SAS — Guide de la maquette budgétaire TP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remplissage — Maquette budgétaire TP</dc:title>
  <dc:creator>AGAPE SAS</dc:creator>
  <dc:description>Mode d'emploi du classeur budgétaire mis à disposition des membres du groupement AGAPE.</dc:description>
  <cp:lastModifiedBy>Un-named</cp:lastModifiedBy>
  <cp:revision>1</cp:revision>
  <dcterms:created xsi:type="dcterms:W3CDTF">2026-08-11T13:37:34.379Z</dcterms:created>
  <dcterms:modified xsi:type="dcterms:W3CDTF">2026-08-11T13:37:34.390Z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